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E35F" w14:textId="77777777" w:rsidR="007A3D89" w:rsidRDefault="007A3D89"/>
    <w:p w14:paraId="20BF7397" w14:textId="77777777" w:rsidR="00174A7C" w:rsidRPr="00174A7C" w:rsidRDefault="00174A7C" w:rsidP="00174A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sz w:val="52"/>
          <w:szCs w:val="52"/>
          <w:lang w:eastAsia="pl-PL"/>
        </w:rPr>
        <w:t xml:space="preserve">Nie produkt, a klient w centrum zainteresowania banków — powstanie grupy ds. </w:t>
      </w:r>
      <w:proofErr w:type="spellStart"/>
      <w:r w:rsidRPr="00174A7C">
        <w:rPr>
          <w:rFonts w:ascii="Arial" w:eastAsia="Times New Roman" w:hAnsi="Arial" w:cs="Arial"/>
          <w:color w:val="000000"/>
          <w:sz w:val="52"/>
          <w:szCs w:val="52"/>
          <w:lang w:eastAsia="pl-PL"/>
        </w:rPr>
        <w:t>klientocentryczności</w:t>
      </w:r>
      <w:proofErr w:type="spellEnd"/>
    </w:p>
    <w:p w14:paraId="6BC2261E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D4AEE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b/>
          <w:bCs/>
          <w:color w:val="000000"/>
          <w:lang w:eastAsia="pl-PL"/>
        </w:rPr>
        <w:t>24 maja,</w:t>
      </w:r>
      <w:r w:rsidRPr="00174A7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174A7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na mocy decyzji Prezydium Forum Technologii Bankowych ZBP, w ramach jego struktur została powołana Grupa robocza ds. </w:t>
      </w:r>
      <w:proofErr w:type="spellStart"/>
      <w:r w:rsidRPr="00174A7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. Celem grupy jest utworzenie w ramach FTB merytorycznej jednostki, skupiającej w swoim gronie ekspertów z dziedziny </w:t>
      </w:r>
      <w:proofErr w:type="spellStart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Customer</w:t>
      </w:r>
      <w:proofErr w:type="spellEnd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proofErr w:type="spellStart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Experience</w:t>
      </w:r>
      <w:proofErr w:type="spellEnd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, IT oraz Prawa. Inicjatywa pojawiła się podczas Śniadania Bankowego współorganizowanego przez firmę </w:t>
      </w:r>
      <w:proofErr w:type="spellStart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Pr="00174A7C">
        <w:rPr>
          <w:rFonts w:ascii="Arial" w:eastAsia="Times New Roman" w:hAnsi="Arial" w:cs="Arial"/>
          <w:b/>
          <w:bCs/>
          <w:color w:val="000000"/>
          <w:lang w:eastAsia="pl-PL"/>
        </w:rPr>
        <w:t>z Redakcją Miesięcznika Finansowego “BANK” 28 marca 2023 r. w Warszawskim Klubie Bankowca, a teraz stała się rzeczywistością.</w:t>
      </w:r>
    </w:p>
    <w:p w14:paraId="54705404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40932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Klientocentryzm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to podejście, które kładzie główny nacisk na oczekiwania oraz potrzeby klienta. Dzięki temu założeniu, instytucje starają się dostosować do tego podejścia swoje procesy oraz usługi. Główne cele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klientocentryzmu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to zadowolenie klienta oraz utrzymywanie z nim długotrwałych relacji, co w konsekwencji może przyczynić się do wzrostu zysków banku.</w:t>
      </w:r>
    </w:p>
    <w:p w14:paraId="56F1CB02" w14:textId="77777777" w:rsidR="00174A7C" w:rsidRPr="00174A7C" w:rsidRDefault="00174A7C" w:rsidP="00174A7C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74A7C">
        <w:rPr>
          <w:rFonts w:ascii="Arial" w:eastAsia="Times New Roman" w:hAnsi="Arial" w:cs="Arial"/>
          <w:color w:val="000000"/>
          <w:kern w:val="36"/>
          <w:sz w:val="32"/>
          <w:szCs w:val="32"/>
          <w:lang w:eastAsia="pl-PL"/>
        </w:rPr>
        <w:t>Połączenie sił w słusznym celu</w:t>
      </w:r>
    </w:p>
    <w:p w14:paraId="1505F1B5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66866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lang w:eastAsia="pl-PL"/>
        </w:rPr>
        <w:t xml:space="preserve">Firma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wspólnie z Redakcją Miesięcznika Finansowego „BANK” zorganizowała 28 marca 2023 r. w Warszawskim Klubie Bankowca śniadanie nt.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 bankach. Celem spotkania była dyskusja o zarządzaniu doświadczeniami klientów banku, ze szczególnym uwzględnieniem kwestii technicznych zagadnienia. Wydarzenie zainicjowało powstanie „Grupy roboczej ds.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>” wspierającej instytucje finansowe przed potencjalnymi zagrożeniami związanymi z budową architektury IT nastawionej na klienta.</w:t>
      </w:r>
    </w:p>
    <w:p w14:paraId="16AFDB03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1C047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lang w:eastAsia="pl-PL"/>
        </w:rPr>
        <w:t xml:space="preserve">W gronie zaproszonych gości oraz ekspertów ds. Business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Intelligence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dyskutowano o zarządzaniu doświadczeniami klientów banku, o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i wsparciu dla jej wdrażania ze strony innowacyjnych rozwiązań technologicznych. </w:t>
      </w:r>
      <w:r w:rsidRPr="00174A7C">
        <w:rPr>
          <w:rFonts w:ascii="Arial" w:eastAsia="Times New Roman" w:hAnsi="Arial" w:cs="Arial"/>
          <w:i/>
          <w:iCs/>
          <w:color w:val="000000"/>
          <w:lang w:eastAsia="pl-PL"/>
        </w:rPr>
        <w:t>– Jeśli postawimy w centrum to, co najważniejsze, to reszta powinna się poukładać</w:t>
      </w:r>
      <w:r w:rsidRPr="00174A7C">
        <w:rPr>
          <w:rFonts w:ascii="Arial" w:eastAsia="Times New Roman" w:hAnsi="Arial" w:cs="Arial"/>
          <w:color w:val="000000"/>
          <w:lang w:eastAsia="pl-PL"/>
        </w:rPr>
        <w:t xml:space="preserve"> – mówił podczas spotkania Łukasz Nienartowicz,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of Business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Intelligence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 firmie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>, odwołując się do podobieństwa pomiędzy rewolucją kopernikańską a dynamicznymi zmianami obowiązujących do niedawna paradygmatów, jakimi kierowała się bankowość.</w:t>
      </w:r>
    </w:p>
    <w:p w14:paraId="6DEA5ADA" w14:textId="77777777" w:rsidR="00174A7C" w:rsidRPr="00174A7C" w:rsidRDefault="00174A7C" w:rsidP="00174A7C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74A7C">
        <w:rPr>
          <w:rFonts w:ascii="Arial" w:eastAsia="Times New Roman" w:hAnsi="Arial" w:cs="Arial"/>
          <w:color w:val="000000"/>
          <w:kern w:val="36"/>
          <w:sz w:val="32"/>
          <w:szCs w:val="32"/>
          <w:lang w:eastAsia="pl-PL"/>
        </w:rPr>
        <w:t>Istotne wsparcie w postaci nowej grupy roboczej</w:t>
      </w:r>
    </w:p>
    <w:p w14:paraId="52AC4F29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5BC60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lang w:eastAsia="pl-PL"/>
        </w:rPr>
        <w:t xml:space="preserve">Marcowe Śniadanie Bankowe, organizowane przez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i Miesięcznik Finansowy “BANK” poskutkowało powołaniem</w:t>
      </w:r>
      <w:r w:rsidRPr="00174A7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74A7C">
        <w:rPr>
          <w:rFonts w:ascii="Arial" w:eastAsia="Times New Roman" w:hAnsi="Arial" w:cs="Arial"/>
          <w:color w:val="000000"/>
          <w:lang w:eastAsia="pl-PL"/>
        </w:rPr>
        <w:t xml:space="preserve">„Grupy roboczej ds.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” w ramach struktur FTB. Powodem tej decyzji jest stale rosnące zainteresowanie wokół maksymalnego dopasowania do wymagań, jakie stawiają klienci. Instytucje finansowe obierają sobie za cel przeniesienie uwagi z produktu na klienta. Indywidualne podejście do budowy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klientocentrycznej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architektury IT może rodzić podobne problemy w bankach, które starają się rozwiązać je w różny sposób. Złe poprowadzenie projektu może skutkować </w:t>
      </w:r>
      <w:r w:rsidRPr="00174A7C">
        <w:rPr>
          <w:rFonts w:ascii="Arial" w:eastAsia="Times New Roman" w:hAnsi="Arial" w:cs="Arial"/>
          <w:color w:val="000000"/>
          <w:lang w:eastAsia="pl-PL"/>
        </w:rPr>
        <w:lastRenderedPageBreak/>
        <w:t>konsekwencją mającą wpływ na całą organizację — w efekcie wynik może być odwrotny od zamierzonego.</w:t>
      </w:r>
    </w:p>
    <w:p w14:paraId="54F8789A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7A1F5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lang w:eastAsia="pl-PL"/>
        </w:rPr>
        <w:t xml:space="preserve">Wyciąganie wniosków z niepowodzeń oraz wymiana doświadczeń mogą pomóc w uniknięciu zagrożenia. Grupa będzie skupiała się wokół badań związanych z różnymi obszarami projektów budowy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 bankach w celu identyfikacji potencjalnych problemów i poszukiwania rozwiązań. Takie dane pozwolą na stworzenie dobrych praktyk w budowaniu architektury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klientocentrycznej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>, czyli dokumentu stanowiącego podsumowanie prac zespołu.</w:t>
      </w:r>
    </w:p>
    <w:p w14:paraId="004D1112" w14:textId="77777777" w:rsidR="00174A7C" w:rsidRPr="00174A7C" w:rsidRDefault="00174A7C" w:rsidP="00174A7C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4A7C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Inicjatywa FTB</w:t>
      </w:r>
    </w:p>
    <w:p w14:paraId="27948395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8ACC5" w14:textId="77777777" w:rsidR="00174A7C" w:rsidRPr="00174A7C" w:rsidRDefault="00174A7C" w:rsidP="0017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intensywnie działa w obszarze tworzenia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klientocentryczności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 bankowości od strony architektury IT oraz jest inicjatorem powstania grupy roboczej w ramach FTB – Forum Technologii Bankowych. Podstawowym celem FTB jest promocja i upowszechnianie wiedzy o nowoczesnych rozwiązaniach technologicznych, w tym teleinformatycznych i ich zastosowaniu w bankowości i w gospodarce elektronicznej, jak również promocja obrotu bezgotówkowego, budowa platformy wymiany informacji i wiedzy pomiędzy przedstawicielami firm teleinformatycznych i banków.</w:t>
      </w:r>
    </w:p>
    <w:p w14:paraId="2158C7ED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A9813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b/>
          <w:bCs/>
          <w:color w:val="000000"/>
          <w:lang w:eastAsia="pl-PL"/>
        </w:rPr>
        <w:t xml:space="preserve">O </w:t>
      </w:r>
      <w:proofErr w:type="spellStart"/>
      <w:r w:rsidRPr="00174A7C">
        <w:rPr>
          <w:rFonts w:ascii="Arial" w:eastAsia="Times New Roman" w:hAnsi="Arial" w:cs="Arial"/>
          <w:b/>
          <w:bCs/>
          <w:color w:val="000000"/>
          <w:lang w:eastAsia="pl-PL"/>
        </w:rPr>
        <w:t>Britenet</w:t>
      </w:r>
      <w:proofErr w:type="spellEnd"/>
    </w:p>
    <w:p w14:paraId="59A90DF5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4FE9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działa na rynku od ponad 16 lat i zatrudnia obecnie ponad 1000 specjalistów. Posiada oddziały w Lublinie, Warszawie, Kielcach, Poznaniu, Białymstoku, Katowicach, Łodzi, Gdańsku, Wrocławiu oraz Krakowie.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zajmuje się rozwojem oprogramowania w ramach usługi outsourcingu, a firmie zaufało już ponad 100 klientów z całego świata. Wśród nich znalazły się polskie i międzynarodowe marki reprezentujące wiele branż między innymi finansową, bankową, edukacyjną, energetyczną,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automotive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turystyczną, loteryjną oraz ubezpieczeniową.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od wielu lat z powodzeniem realizuje także projekty dla sektora publicznego w tym między innymi dla KPRM, Ministerstwa Zdrowia, Finansów oraz Ministerstwa Funduszy i Polityki Regionalnej. </w:t>
      </w:r>
    </w:p>
    <w:p w14:paraId="3FCB8AAA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3809C" w14:textId="77777777" w:rsidR="00174A7C" w:rsidRPr="00174A7C" w:rsidRDefault="00174A7C" w:rsidP="0017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Firma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pięciokrotnie zdobyła tytuł „Najlepszego Miejsca Pracy w IT w Polsce” w prestiżowych badaniach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AudIT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organizowanych wśród pracowników przez magazyn Computerworld Polska. Ponadto według analiz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Clutch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, platformy B2B pomagającej firmom w znalezieniu najlepszych dostawców, opartych między innymi na opiniach klientów,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jest w pierwszej 10 w Polsce w rankingu firm świadczących usługi typu </w:t>
      </w:r>
      <w:proofErr w:type="spellStart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managed</w:t>
      </w:r>
      <w:proofErr w:type="spellEnd"/>
      <w:r w:rsidRPr="00174A7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service,</w:t>
      </w:r>
      <w:r w:rsidRPr="00174A7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systems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integration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, CRM Consulting, a także w kategoriach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Salesforce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oraz BI &amp; Big data. </w:t>
      </w:r>
      <w:proofErr w:type="spellStart"/>
      <w:r w:rsidRPr="00174A7C">
        <w:rPr>
          <w:rFonts w:ascii="Arial" w:eastAsia="Times New Roman" w:hAnsi="Arial" w:cs="Arial"/>
          <w:color w:val="000000"/>
          <w:lang w:eastAsia="pl-PL"/>
        </w:rPr>
        <w:t>Britenet</w:t>
      </w:r>
      <w:proofErr w:type="spellEnd"/>
      <w:r w:rsidRPr="00174A7C">
        <w:rPr>
          <w:rFonts w:ascii="Arial" w:eastAsia="Times New Roman" w:hAnsi="Arial" w:cs="Arial"/>
          <w:color w:val="000000"/>
          <w:lang w:eastAsia="pl-PL"/>
        </w:rPr>
        <w:t xml:space="preserve"> w 2022 roku </w:t>
      </w:r>
      <w:r w:rsidRPr="00174A7C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dołączył również w roli Partnera do programu </w:t>
      </w:r>
      <w:proofErr w:type="spellStart"/>
      <w:r w:rsidRPr="00174A7C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>Salesforce</w:t>
      </w:r>
      <w:proofErr w:type="spellEnd"/>
      <w:r w:rsidRPr="00174A7C"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  <w:t xml:space="preserve"> Talent Alliance</w:t>
      </w:r>
      <w:r w:rsidRPr="00174A7C">
        <w:rPr>
          <w:rFonts w:ascii="Arial" w:eastAsia="Times New Roman" w:hAnsi="Arial" w:cs="Arial"/>
          <w:color w:val="000000"/>
          <w:lang w:eastAsia="pl-PL"/>
        </w:rPr>
        <w:t>. </w:t>
      </w:r>
    </w:p>
    <w:p w14:paraId="408E7A78" w14:textId="77777777" w:rsidR="00175222" w:rsidRDefault="00175222"/>
    <w:sectPr w:rsidR="00175222" w:rsidSect="00175222">
      <w:headerReference w:type="default" r:id="rId9"/>
      <w:footerReference w:type="default" r:id="rId10"/>
      <w:pgSz w:w="11906" w:h="16838"/>
      <w:pgMar w:top="907" w:right="907" w:bottom="907" w:left="907" w:header="96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CF9" w14:textId="77777777" w:rsidR="00174A7C" w:rsidRDefault="00174A7C" w:rsidP="00D1427E">
      <w:pPr>
        <w:spacing w:after="0" w:line="240" w:lineRule="auto"/>
      </w:pPr>
      <w:r>
        <w:separator/>
      </w:r>
    </w:p>
  </w:endnote>
  <w:endnote w:type="continuationSeparator" w:id="0">
    <w:p w14:paraId="451B9D01" w14:textId="77777777" w:rsidR="00174A7C" w:rsidRDefault="00174A7C" w:rsidP="00D1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592A" w14:textId="77777777" w:rsidR="00D1427E" w:rsidRDefault="00826BD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7BFF67" wp14:editId="6901DA7F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6433436" cy="109537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30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3436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27F5" w14:textId="77777777" w:rsidR="00174A7C" w:rsidRDefault="00174A7C" w:rsidP="00D1427E">
      <w:pPr>
        <w:spacing w:after="0" w:line="240" w:lineRule="auto"/>
      </w:pPr>
      <w:r>
        <w:separator/>
      </w:r>
    </w:p>
  </w:footnote>
  <w:footnote w:type="continuationSeparator" w:id="0">
    <w:p w14:paraId="71735B42" w14:textId="77777777" w:rsidR="00174A7C" w:rsidRDefault="00174A7C" w:rsidP="00D1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348" w14:textId="77777777" w:rsidR="00D1427E" w:rsidRDefault="00826B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C45EF" wp14:editId="1663CB53">
          <wp:simplePos x="0" y="0"/>
          <wp:positionH relativeFrom="margin">
            <wp:align>right</wp:align>
          </wp:positionH>
          <wp:positionV relativeFrom="paragraph">
            <wp:posOffset>-593090</wp:posOffset>
          </wp:positionV>
          <wp:extent cx="6409843" cy="10763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30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843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7F7FAF" w14:textId="77777777" w:rsidR="005D5D71" w:rsidRDefault="005D5D71">
    <w:pPr>
      <w:pStyle w:val="Nagwek"/>
    </w:pPr>
  </w:p>
  <w:p w14:paraId="04521DD7" w14:textId="77777777" w:rsidR="005D5D71" w:rsidRDefault="005D5D71">
    <w:pPr>
      <w:pStyle w:val="Nagwek"/>
    </w:pPr>
  </w:p>
  <w:p w14:paraId="5D4F7C99" w14:textId="77777777" w:rsidR="00D1427E" w:rsidRDefault="00D14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C"/>
    <w:rsid w:val="00101149"/>
    <w:rsid w:val="0015382B"/>
    <w:rsid w:val="00174A7C"/>
    <w:rsid w:val="00175222"/>
    <w:rsid w:val="002D5A76"/>
    <w:rsid w:val="00383D86"/>
    <w:rsid w:val="00485FDC"/>
    <w:rsid w:val="005D5D71"/>
    <w:rsid w:val="007A3D89"/>
    <w:rsid w:val="00826BDC"/>
    <w:rsid w:val="00C064BD"/>
    <w:rsid w:val="00D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1BE9C"/>
  <w15:chartTrackingRefBased/>
  <w15:docId w15:val="{4E40BCAE-84A3-4B9A-8D4B-31E7A80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7E"/>
  </w:style>
  <w:style w:type="paragraph" w:styleId="Stopka">
    <w:name w:val="footer"/>
    <w:basedOn w:val="Normalny"/>
    <w:link w:val="StopkaZnak"/>
    <w:uiPriority w:val="99"/>
    <w:unhideWhenUsed/>
    <w:rsid w:val="00D1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7E"/>
  </w:style>
  <w:style w:type="character" w:customStyle="1" w:styleId="Nagwek1Znak">
    <w:name w:val="Nagłówek 1 Znak"/>
    <w:basedOn w:val="Domylnaczcionkaakapitu"/>
    <w:link w:val="Nagwek1"/>
    <w:uiPriority w:val="9"/>
    <w:rsid w:val="0017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garnek\Downloads\Britenet_Spzoo_papier-firmowy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CF01BDC111469379ED4BFE9C5B80" ma:contentTypeVersion="2" ma:contentTypeDescription="Create a new document." ma:contentTypeScope="" ma:versionID="80040547c33460ad22793677e1d17c5f">
  <xsd:schema xmlns:xsd="http://www.w3.org/2001/XMLSchema" xmlns:xs="http://www.w3.org/2001/XMLSchema" xmlns:p="http://schemas.microsoft.com/office/2006/metadata/properties" xmlns:ns3="f7852e22-5671-4368-8d15-ca465fb31413" targetNamespace="http://schemas.microsoft.com/office/2006/metadata/properties" ma:root="true" ma:fieldsID="3be0af6bfd72d09f74ef0024b70ed64b" ns3:_="">
    <xsd:import namespace="f7852e22-5671-4368-8d15-ca465fb31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2e22-5671-4368-8d15-ca465fb3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4BEA5-7095-4784-A12F-52788553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2e22-5671-4368-8d15-ca465fb31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3A5F-960E-4677-827C-38087B3F46A3}">
  <ds:schemaRefs>
    <ds:schemaRef ds:uri="http://www.w3.org/XML/1998/namespace"/>
    <ds:schemaRef ds:uri="http://schemas.openxmlformats.org/package/2006/metadata/core-properties"/>
    <ds:schemaRef ds:uri="http://purl.org/dc/elements/1.1/"/>
    <ds:schemaRef ds:uri="f7852e22-5671-4368-8d15-ca465fb3141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AF73CF-5A1B-4871-90DE-9D05AF94E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Britenet_Spzoo_papier-firmowy_2020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Garnek</dc:creator>
  <cp:keywords/>
  <dc:description/>
  <cp:lastModifiedBy>Małgorzata Garnek</cp:lastModifiedBy>
  <cp:revision>2</cp:revision>
  <cp:lastPrinted>2020-04-02T15:12:00Z</cp:lastPrinted>
  <dcterms:created xsi:type="dcterms:W3CDTF">2023-05-29T11:05:00Z</dcterms:created>
  <dcterms:modified xsi:type="dcterms:W3CDTF">2023-05-29T11:05:00Z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0x010100EA96CF01BDC111469379ED4BFE9C5B80</vt:lpwstr>
  </property>
</Properties>
</file>